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90" w:rsidRPr="00464C90" w:rsidRDefault="00464C90" w:rsidP="00464C9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25289"/>
          <w:kern w:val="36"/>
          <w:sz w:val="36"/>
          <w:szCs w:val="36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125289"/>
          <w:kern w:val="36"/>
          <w:sz w:val="36"/>
          <w:szCs w:val="36"/>
          <w:lang w:eastAsia="fr-FR"/>
        </w:rPr>
        <w:t>Globe "shop" un nouveau fonds</w:t>
      </w:r>
    </w:p>
    <w:p w:rsidR="00464C90" w:rsidRPr="00464C90" w:rsidRDefault="00464C90" w:rsidP="00464C90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drawing>
          <wp:inline distT="0" distB="0" distL="0" distR="0" wp14:anchorId="22038AA1" wp14:editId="47DFD744">
            <wp:extent cx="1432560" cy="762000"/>
            <wp:effectExtent l="0" t="0" r="0" b="0"/>
            <wp:docPr id="1" name="Image 1" descr="http://www.cfnews.net/var/cfnews/storage/images/mediatheque/nouvelles-images-cfnews/logos/societes/g/globegroup/3912950-2-fre-FR/globegroup_article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fnews.net/var/cfnews/storage/images/mediatheque/nouvelles-images-cfnews/logos/societes/g/globegroup/3912950-2-fre-FR/globegroup_article_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90" w:rsidRPr="00464C90" w:rsidRDefault="00464C90" w:rsidP="00464C90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Le groupe de communication hors média, visant 40 M€ de chiffre d'affaires cette année, accueille Edrip en important minoritaire pour l'aider à développer sa plateforme européenne. Apax Partners Développement (ex-EPF) et Turenne Capital signent leur sortie.</w:t>
      </w:r>
    </w:p>
    <w:p w:rsidR="00464C90" w:rsidRPr="00464C90" w:rsidRDefault="00464C90" w:rsidP="00464C90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Globe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se rapproche d'un nouvel investisseur. Fondé en 2002 par 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Jérémy Dahan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(photo ci-contre), le groupe de communication hors média, spécialisé dans le rapprochement consommateur/marques  </w:t>
      </w:r>
      <w:r w:rsidRPr="00464C90">
        <w:rPr>
          <w:rFonts w:ascii="Arial" w:eastAsia="Times New Roman" w:hAnsi="Arial" w:cs="Arial"/>
          <w:i/>
          <w:iCs/>
          <w:color w:val="666666"/>
          <w:sz w:val="18"/>
          <w:szCs w:val="18"/>
          <w:lang w:eastAsia="fr-FR"/>
        </w:rPr>
        <w:t>(shopper marketing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), vient, en effet, de signer un nouveau LBO avec 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Edrip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. Intervenant via son équipe 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Winch Capital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ce dernier prend la </w:t>
      </w:r>
      <w:r w:rsidRPr="00464C90"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drawing>
          <wp:inline distT="0" distB="0" distL="0" distR="0" wp14:anchorId="7CEA0386" wp14:editId="1255C6B6">
            <wp:extent cx="822960" cy="952500"/>
            <wp:effectExtent l="0" t="0" r="0" b="0"/>
            <wp:docPr id="2" name="Image 2" descr="http://www.cfnews.net/var/cfnews/storage/images/mediatheque/nouvelles-images-cfnews/logos/societes/g/globegroupe_jdahan/3913013-2-fre-FR/globegroupe_jdaha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fnews.net/var/cfnews/storage/images/mediatheque/nouvelles-images-cfnews/logos/societes/g/globegroupe_jdahan/3913013-2-fre-FR/globegroupe_jdahan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suite d'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Apax Partners Développement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l'ex-EPF Partners, et de 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Turenne Capital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lesquels, entrés respectivement en 2012 et 2007, disposaient de 25 % et 15 % du capital depuis l'OBO bis réalisé il y a cinq ans (lire ci-dessous). Discret sur le montant de son investissement, Edrip prendrait, pour l'occasion, une participation minoritaire significative, proche, selon nos sources, de 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45 %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tandis que le dirigeant-fondateur conserverait le solde avec une poignée de cadres. « Nous suivions l'évolution du groupe depuis maintenant deux ans et échangions régulièrement avec son dirigeant, explique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 Pierre-Yves Poirier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directeur associé chez Edrip. Aussi, lorsque le mandat a été confié à 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Transaction R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Jérémy Dahan nous en a tout de suite informé. » </w:t>
      </w:r>
    </w:p>
    <w:p w:rsidR="00464C90" w:rsidRPr="00464C90" w:rsidRDefault="00464C90" w:rsidP="00464C90">
      <w:pPr>
        <w:spacing w:before="150" w:after="75" w:line="270" w:lineRule="atLeast"/>
        <w:jc w:val="both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t>Devenir une plateforme européenne</w:t>
      </w:r>
    </w:p>
    <w:p w:rsidR="00464C90" w:rsidRPr="00464C90" w:rsidRDefault="00464C90" w:rsidP="00464C90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drawing>
          <wp:inline distT="0" distB="0" distL="0" distR="0" wp14:anchorId="38963600" wp14:editId="24E496E7">
            <wp:extent cx="723900" cy="952500"/>
            <wp:effectExtent l="0" t="0" r="0" b="0"/>
            <wp:docPr id="3" name="Image 3" descr="http://www.cfnews.net/var/cfnews/storage/images/mediatheque/nouvelles-images-cfnews/people/e/edrip_pypoirier/274528-4-fre-FR/edrip_pypoirie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fnews.net/var/cfnews/storage/images/mediatheque/nouvelles-images-cfnews/people/e/edrip_pypoirier/274528-4-fre-FR/edrip_pypoirier_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Visant un 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chiffre d'affaires de 40 M€ cette année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contre 35 M€ en 2016 et 25 M€ en 2011, Globe, qui se propose de transformer le consommateur en </w:t>
      </w:r>
      <w:r w:rsidRPr="00464C90">
        <w:rPr>
          <w:rFonts w:ascii="Arial" w:eastAsia="Times New Roman" w:hAnsi="Arial" w:cs="Arial"/>
          <w:i/>
          <w:iCs/>
          <w:color w:val="666666"/>
          <w:sz w:val="18"/>
          <w:szCs w:val="18"/>
          <w:lang w:eastAsia="fr-FR"/>
        </w:rPr>
        <w:t>shopper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et le </w:t>
      </w:r>
      <w:r w:rsidRPr="00464C90">
        <w:rPr>
          <w:rFonts w:ascii="Arial" w:eastAsia="Times New Roman" w:hAnsi="Arial" w:cs="Arial"/>
          <w:i/>
          <w:iCs/>
          <w:color w:val="666666"/>
          <w:sz w:val="18"/>
          <w:szCs w:val="18"/>
          <w:lang w:eastAsia="fr-FR"/>
        </w:rPr>
        <w:t>shopper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en acheteur en activant les marques et les ventes, compte maintenant accélérer son développement à l'international. « Le groupe réalise aujourd'hui 25 % de son chiffre d'affaires hors de France, essentiellement en 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Allemagne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où il a réalisé les acquisitions d'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Elite Promotion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et de 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Baron Gbh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en 2013 et 2016 », indique Pierre-Yves Poirier (photo ci-contre). Et il est bien décidé à aller plus loin. « L'objectif est d'en faire une véritable 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plateforme européenne grâce à la croissance externe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insiste l'investisseur. D'ailleurs, en plus de la dette senior co-arrangée par Banque Populaire et LCL, nous avons structuré une 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ligne de Capex d'une dizaine de millions d'euros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. »</w:t>
      </w:r>
    </w:p>
    <w:p w:rsidR="00464C90" w:rsidRPr="00464C90" w:rsidRDefault="00464C90" w:rsidP="00464C90">
      <w:pPr>
        <w:spacing w:before="150" w:after="75" w:line="270" w:lineRule="atLeast"/>
        <w:jc w:val="both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27"/>
          <w:szCs w:val="27"/>
          <w:lang w:eastAsia="fr-FR"/>
        </w:rPr>
        <w:t>Plus de 50 % de l'activité à l'international d'ici à cinq ans</w:t>
      </w:r>
    </w:p>
    <w:p w:rsidR="00464C90" w:rsidRPr="00464C90" w:rsidRDefault="00464C90" w:rsidP="00464C90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D'après nos sources, Globe, qui s'intéresse à des sociétés de communication événementielle réalisant entre 5 M€ et 25 M€ de chiffre d'affaires, ciblerait prioritairement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 l'Allemagne, le Benelux et le Royaume-Uni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puis, dans un second temps, l'Espagne et l'Italie. Employant 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130 collaborateurs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cette agence </w:t>
      </w:r>
      <w:r w:rsidRPr="00464C90">
        <w:rPr>
          <w:rFonts w:ascii="Arial" w:eastAsia="Times New Roman" w:hAnsi="Arial" w:cs="Arial"/>
          <w:i/>
          <w:iCs/>
          <w:color w:val="666666"/>
          <w:sz w:val="18"/>
          <w:szCs w:val="18"/>
          <w:lang w:eastAsia="fr-FR"/>
        </w:rPr>
        <w:t>one-stop shop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qui compte de grandes marques FMCG (</w:t>
      </w:r>
      <w:r w:rsidRPr="00464C90">
        <w:rPr>
          <w:rFonts w:ascii="Arial" w:eastAsia="Times New Roman" w:hAnsi="Arial" w:cs="Arial"/>
          <w:i/>
          <w:iCs/>
          <w:color w:val="666666"/>
          <w:sz w:val="18"/>
          <w:szCs w:val="18"/>
          <w:lang w:eastAsia="fr-FR"/>
        </w:rPr>
        <w:t>fast moving consumer goods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), luxe et</w:t>
      </w:r>
      <w:r w:rsidRPr="00464C90">
        <w:rPr>
          <w:rFonts w:ascii="Arial" w:eastAsia="Times New Roman" w:hAnsi="Arial" w:cs="Arial"/>
          <w:i/>
          <w:iCs/>
          <w:color w:val="666666"/>
          <w:sz w:val="18"/>
          <w:szCs w:val="18"/>
          <w:lang w:eastAsia="fr-FR"/>
        </w:rPr>
        <w:t> high tech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parmi ses clients, espère ainsi dépasser les </w:t>
      </w: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50 % de son activité à l'international d'ici quatre à cinq ans</w:t>
      </w: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. Sachant qu'à cet horizon, elle compte avoir franchi la barre des 100 M€ de chiffre d'affaires.</w:t>
      </w:r>
    </w:p>
    <w:p w:rsidR="00464C90" w:rsidRDefault="00464C90" w:rsidP="00464C90">
      <w:pPr>
        <w:spacing w:after="75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Lire aussi :</w:t>
      </w:r>
    </w:p>
    <w:p w:rsidR="006957C7" w:rsidRDefault="006957C7" w:rsidP="00464C90">
      <w:pPr>
        <w:spacing w:after="75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p w:rsidR="006957C7" w:rsidRDefault="006957C7" w:rsidP="00464C90">
      <w:pPr>
        <w:spacing w:after="75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p w:rsidR="006957C7" w:rsidRPr="00464C90" w:rsidRDefault="006957C7" w:rsidP="00464C90">
      <w:pPr>
        <w:spacing w:after="75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bookmarkStart w:id="0" w:name="_GoBack"/>
      <w:bookmarkEnd w:id="0"/>
    </w:p>
    <w:p w:rsidR="00464C90" w:rsidRPr="00464C90" w:rsidRDefault="00464C90" w:rsidP="00464C90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B3C811"/>
          <w:sz w:val="30"/>
          <w:szCs w:val="30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B3C811"/>
          <w:sz w:val="30"/>
          <w:szCs w:val="30"/>
          <w:lang w:eastAsia="fr-FR"/>
        </w:rPr>
        <w:lastRenderedPageBreak/>
        <w:t>les intervenants de l'opération</w:t>
      </w:r>
    </w:p>
    <w:p w:rsidR="00464C90" w:rsidRPr="00464C90" w:rsidRDefault="00464C90" w:rsidP="00464C9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Société cible ou acteur</w:t>
      </w:r>
      <w:hyperlink r:id="rId8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GLOBE GROUPE</w:t>
        </w:r>
      </w:hyperlink>
    </w:p>
    <w:p w:rsidR="00464C90" w:rsidRPr="00464C90" w:rsidRDefault="00464C90" w:rsidP="00464C9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Acquéreur ou Investisseur</w:t>
      </w:r>
      <w:hyperlink r:id="rId9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FONDATEUR(S)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10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Jérémy Dahan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11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EDMOND DE ROTHSCHILD INVESTMENT PARTNERS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12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Pierre-Yves Poirier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13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Sylvain Charignon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14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Thomas Duteil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15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Aurélie Denieuil</w:t>
        </w:r>
      </w:hyperlink>
    </w:p>
    <w:p w:rsidR="00464C90" w:rsidRPr="00464C90" w:rsidRDefault="00464C90" w:rsidP="00464C9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Cédant</w:t>
      </w:r>
      <w:hyperlink r:id="rId16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APAX PARTNERS DEVELOPMENT (EX EPF PARTNERS)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17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TURENNE CAPITAL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18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FONDATEUR(S)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19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Jérémy Dahan</w:t>
        </w:r>
      </w:hyperlink>
    </w:p>
    <w:p w:rsidR="00464C90" w:rsidRPr="00464C90" w:rsidRDefault="00464C90" w:rsidP="00464C9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Acquéreur Avocat Corporate - Structuration Fiscale</w:t>
      </w:r>
      <w:hyperlink r:id="rId20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ARCHERS (EX GGSM)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21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Marc Baffreau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22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Guillaume Bain</w:t>
        </w:r>
      </w:hyperlink>
    </w:p>
    <w:p w:rsidR="00464C90" w:rsidRPr="00464C90" w:rsidRDefault="00464C90" w:rsidP="00464C9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Acq. DD Juridique et Fiscale</w:t>
      </w:r>
      <w:hyperlink r:id="rId23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EY SOCIETE D'AVOCATS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24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Stéphane Seguin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25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Guillaume Lestang</w:t>
        </w:r>
      </w:hyperlink>
    </w:p>
    <w:p w:rsidR="00464C90" w:rsidRPr="00464C90" w:rsidRDefault="00464C90" w:rsidP="00464C9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Acq. DD Financière</w:t>
      </w:r>
      <w:hyperlink r:id="rId26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EY TS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27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Stéphane Seguin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28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Guillaume Lestang</w:t>
        </w:r>
      </w:hyperlink>
    </w:p>
    <w:p w:rsidR="00464C90" w:rsidRPr="00464C90" w:rsidRDefault="00464C90" w:rsidP="00464C9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Acq. Conseil Stratégique</w:t>
      </w:r>
      <w:hyperlink r:id="rId29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EY CF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30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Jean-Daniel Pick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31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Gianluigi Indino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32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Ambroise de Sainte-Foy</w:t>
        </w:r>
      </w:hyperlink>
    </w:p>
    <w:p w:rsidR="00464C90" w:rsidRPr="00464C90" w:rsidRDefault="00464C90" w:rsidP="00464C9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Cédant Banquier d'Affaires / Conseil M&amp;A</w:t>
      </w:r>
      <w:hyperlink r:id="rId33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TRANSACTION R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34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Sébastien Proto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35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Virginie Lazès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36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Anthony Benichou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37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Pierre Gibour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38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Guillaume Marquet de Vasselot</w:t>
        </w:r>
      </w:hyperlink>
    </w:p>
    <w:p w:rsidR="00464C90" w:rsidRPr="00464C90" w:rsidRDefault="00464C90" w:rsidP="00464C9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Cédant Avocat Corporate - Structuration Fiscale</w:t>
      </w:r>
      <w:hyperlink r:id="rId39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SEKRI VALENTIN ZERROUK (SVZ)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40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Franck Sekri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41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Emmanuelle Vicidomini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42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Antoine Haï</w:t>
        </w:r>
      </w:hyperlink>
    </w:p>
    <w:p w:rsidR="00464C90" w:rsidRPr="00464C90" w:rsidRDefault="00464C90" w:rsidP="00464C9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Cédant Avocat d'Affaires Fiscal</w:t>
      </w:r>
      <w:hyperlink r:id="rId43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SEKRI VALENTIN ZERROUK (SVZ)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44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Thomas Verdeil</w:t>
        </w:r>
      </w:hyperlink>
    </w:p>
    <w:p w:rsidR="00464C90" w:rsidRPr="00464C90" w:rsidRDefault="00464C90" w:rsidP="00464C9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VDD Financière</w:t>
      </w:r>
      <w:hyperlink r:id="rId45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EIGHT ADVISORY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, </w:t>
      </w:r>
      <w:hyperlink r:id="rId46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Xavier Mesguich</w:t>
        </w:r>
      </w:hyperlink>
    </w:p>
    <w:p w:rsidR="00464C90" w:rsidRPr="00464C90" w:rsidRDefault="00464C90" w:rsidP="00464C9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Managers Conseil Financier</w:t>
      </w:r>
      <w:hyperlink r:id="rId47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MITSIO CORPORATE FINANCE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48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Eric Braconnier</w:t>
        </w:r>
      </w:hyperlink>
    </w:p>
    <w:p w:rsidR="00464C90" w:rsidRPr="00464C90" w:rsidRDefault="00464C90" w:rsidP="00464C9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Dette</w:t>
      </w:r>
      <w:hyperlink r:id="rId49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BANQUE POPULAIRE RIVES DE PARIS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50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Olivier Grisard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51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Romain Bejaoui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52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LCL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53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Yannick Simonnet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54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Karen Darmouni</w:t>
        </w:r>
      </w:hyperlink>
    </w:p>
    <w:p w:rsidR="00464C90" w:rsidRPr="00464C90" w:rsidRDefault="00464C90" w:rsidP="00464C9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64C90">
        <w:rPr>
          <w:rFonts w:ascii="Arial" w:eastAsia="Times New Roman" w:hAnsi="Arial" w:cs="Arial"/>
          <w:b/>
          <w:bCs/>
          <w:color w:val="666666"/>
          <w:sz w:val="18"/>
          <w:szCs w:val="18"/>
          <w:lang w:eastAsia="fr-FR"/>
        </w:rPr>
        <w:t>Dette Avocat</w:t>
      </w:r>
      <w:hyperlink r:id="rId55" w:history="1">
        <w:r w:rsidRPr="00464C90">
          <w:rPr>
            <w:rFonts w:ascii="Arial" w:eastAsia="Times New Roman" w:hAnsi="Arial" w:cs="Arial"/>
            <w:b/>
            <w:bCs/>
            <w:color w:val="125289"/>
            <w:sz w:val="18"/>
            <w:szCs w:val="18"/>
            <w:u w:val="single"/>
            <w:lang w:eastAsia="fr-FR"/>
          </w:rPr>
          <w:t>DS AVOCATS</w:t>
        </w:r>
      </w:hyperlink>
      <w:r w:rsidRPr="00464C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 </w:t>
      </w:r>
      <w:hyperlink r:id="rId56" w:history="1">
        <w:r w:rsidRPr="00464C90">
          <w:rPr>
            <w:rFonts w:ascii="Arial" w:eastAsia="Times New Roman" w:hAnsi="Arial" w:cs="Arial"/>
            <w:color w:val="125289"/>
            <w:sz w:val="18"/>
            <w:szCs w:val="18"/>
            <w:u w:val="single"/>
            <w:lang w:eastAsia="fr-FR"/>
          </w:rPr>
          <w:t>Marie Trécan</w:t>
        </w:r>
      </w:hyperlink>
    </w:p>
    <w:p w:rsidR="00D222BF" w:rsidRDefault="00D222BF"/>
    <w:sectPr w:rsidR="00D2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124D8"/>
    <w:multiLevelType w:val="multilevel"/>
    <w:tmpl w:val="7884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90"/>
    <w:rsid w:val="00464C90"/>
    <w:rsid w:val="006957C7"/>
    <w:rsid w:val="00D2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E474"/>
  <w15:chartTrackingRefBased/>
  <w15:docId w15:val="{A4692029-C811-4DEB-BB7F-00585DAA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fnews.net/Referentiel/Le-bottin-des-Personnalites/Sylvain-Charignon" TargetMode="External"/><Relationship Id="rId18" Type="http://schemas.openxmlformats.org/officeDocument/2006/relationships/hyperlink" Target="http://www.cfnews.net/Referentiel/Societes/FONDATEUR-S" TargetMode="External"/><Relationship Id="rId26" Type="http://schemas.openxmlformats.org/officeDocument/2006/relationships/hyperlink" Target="http://www.cfnews.net/Referentiel/Acteurs-du-Corporate-Finance/Conseils/EY-TS" TargetMode="External"/><Relationship Id="rId39" Type="http://schemas.openxmlformats.org/officeDocument/2006/relationships/hyperlink" Target="http://www.cfnews.net/Referentiel/Acteurs-du-Corporate-Finance/Avocats/SEKRI-VALENTIN-ZERROUK-SVZ" TargetMode="External"/><Relationship Id="rId21" Type="http://schemas.openxmlformats.org/officeDocument/2006/relationships/hyperlink" Target="http://www.cfnews.net/Referentiel/Le-bottin-des-Personnalites/Marc-Baffreau" TargetMode="External"/><Relationship Id="rId34" Type="http://schemas.openxmlformats.org/officeDocument/2006/relationships/hyperlink" Target="http://www.cfnews.net/Referentiel/Le-bottin-des-Personnalites/Sebastien-Proto" TargetMode="External"/><Relationship Id="rId42" Type="http://schemas.openxmlformats.org/officeDocument/2006/relationships/hyperlink" Target="http://www.cfnews.net/Referentiel/Le-bottin-des-Personnalites/Antoine-Hai" TargetMode="External"/><Relationship Id="rId47" Type="http://schemas.openxmlformats.org/officeDocument/2006/relationships/hyperlink" Target="http://www.cfnews.net/Referentiel/Acteurs-du-Corporate-Finance/Conseils/MITSIO-CORPORATE-FINANCE" TargetMode="External"/><Relationship Id="rId50" Type="http://schemas.openxmlformats.org/officeDocument/2006/relationships/hyperlink" Target="http://www.cfnews.net/Referentiel/Le-bottin-des-Personnalites/Olivier-Grisard" TargetMode="External"/><Relationship Id="rId55" Type="http://schemas.openxmlformats.org/officeDocument/2006/relationships/hyperlink" Target="http://www.cfnews.net/Referentiel/Acteurs-du-Corporate-Finance/Avocats/DS-AVOCATS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cfnews.net/Referentiel/Le-bottin-des-Personnalites/Pierre-Yves-Poirier" TargetMode="External"/><Relationship Id="rId17" Type="http://schemas.openxmlformats.org/officeDocument/2006/relationships/hyperlink" Target="http://www.cfnews.net/Referentiel/Acteurs-du-Corporate-Finance/Fonds-d-investissement/TURENNE-CAPITAL" TargetMode="External"/><Relationship Id="rId25" Type="http://schemas.openxmlformats.org/officeDocument/2006/relationships/hyperlink" Target="http://www.cfnews.net/Referentiel/Le-bottin-des-Personnalites/Guillaume-Lestang" TargetMode="External"/><Relationship Id="rId33" Type="http://schemas.openxmlformats.org/officeDocument/2006/relationships/hyperlink" Target="http://www.cfnews.net/Referentiel/Acteurs-du-Corporate-Finance/Banquiers/TRANSACTION-R" TargetMode="External"/><Relationship Id="rId38" Type="http://schemas.openxmlformats.org/officeDocument/2006/relationships/hyperlink" Target="http://www.cfnews.net/Referentiel/Le-bottin-des-Personnalites/Guillaume-Marquet-de-Vasselot" TargetMode="External"/><Relationship Id="rId46" Type="http://schemas.openxmlformats.org/officeDocument/2006/relationships/hyperlink" Target="http://www.cfnews.net/Referentiel/Le-bottin-des-Personnalites/Xavier-Mesgui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fnews.net/Referentiel/Acteurs-du-Corporate-Finance/Fonds-d-investissement/APAX-PARTNERS-DEVELOPMENT-EX-EPF-PARTNERS" TargetMode="External"/><Relationship Id="rId20" Type="http://schemas.openxmlformats.org/officeDocument/2006/relationships/hyperlink" Target="http://www.cfnews.net/Referentiel/Acteurs-du-Corporate-Finance/Avocats/ARCHERS-EX-GGSM" TargetMode="External"/><Relationship Id="rId29" Type="http://schemas.openxmlformats.org/officeDocument/2006/relationships/hyperlink" Target="http://www.cfnews.net/Referentiel/Acteurs-du-Corporate-Finance/Conseils/EY-CF" TargetMode="External"/><Relationship Id="rId41" Type="http://schemas.openxmlformats.org/officeDocument/2006/relationships/hyperlink" Target="http://www.cfnews.net/Referentiel/Le-bottin-des-Personnalites/Emmanuelle-Vicidomini" TargetMode="External"/><Relationship Id="rId54" Type="http://schemas.openxmlformats.org/officeDocument/2006/relationships/hyperlink" Target="http://www.cfnews.net/Referentiel/Le-bottin-des-Personnalites/Karen-Darmoun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fnews.net/Referentiel/Acteurs-du-Corporate-Finance/Fonds-d-investissement/EDMOND-DE-ROTHSCHILD-INVESTMENT-PARTNERS" TargetMode="External"/><Relationship Id="rId24" Type="http://schemas.openxmlformats.org/officeDocument/2006/relationships/hyperlink" Target="http://www.cfnews.net/Referentiel/Le-bottin-des-Personnalites/Stephane-Seguin" TargetMode="External"/><Relationship Id="rId32" Type="http://schemas.openxmlformats.org/officeDocument/2006/relationships/hyperlink" Target="http://www.cfnews.net/Referentiel/Le-bottin-des-Personnalites/Ambroise-de-Sainte-Foy" TargetMode="External"/><Relationship Id="rId37" Type="http://schemas.openxmlformats.org/officeDocument/2006/relationships/hyperlink" Target="http://www.cfnews.net/Referentiel/Le-bottin-des-Personnalites/Pierre-Gibour" TargetMode="External"/><Relationship Id="rId40" Type="http://schemas.openxmlformats.org/officeDocument/2006/relationships/hyperlink" Target="http://www.cfnews.net/Referentiel/Le-bottin-des-Personnalites/Franck-Sekri" TargetMode="External"/><Relationship Id="rId45" Type="http://schemas.openxmlformats.org/officeDocument/2006/relationships/hyperlink" Target="http://www.cfnews.net/Referentiel/Acteurs-du-Corporate-Finance/Conseils/EIGHT-ADVISORY" TargetMode="External"/><Relationship Id="rId53" Type="http://schemas.openxmlformats.org/officeDocument/2006/relationships/hyperlink" Target="http://www.cfnews.net/Referentiel/Le-bottin-des-Personnalites/Yannick-Simonnet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cfnews.net/Referentiel/Le-bottin-des-Personnalites/Aurelie-Denieuil" TargetMode="External"/><Relationship Id="rId23" Type="http://schemas.openxmlformats.org/officeDocument/2006/relationships/hyperlink" Target="http://www.cfnews.net/Referentiel/Acteurs-du-Corporate-Finance/Avocats/EY-SOCIETE-D-AVOCATS" TargetMode="External"/><Relationship Id="rId28" Type="http://schemas.openxmlformats.org/officeDocument/2006/relationships/hyperlink" Target="http://www.cfnews.net/Referentiel/Le-bottin-des-Personnalites/Guillaume-Lestang" TargetMode="External"/><Relationship Id="rId36" Type="http://schemas.openxmlformats.org/officeDocument/2006/relationships/hyperlink" Target="http://www.cfnews.net/Referentiel/Le-bottin-des-Personnalites/Anthony-Benichou" TargetMode="External"/><Relationship Id="rId49" Type="http://schemas.openxmlformats.org/officeDocument/2006/relationships/hyperlink" Target="http://www.cfnews.net/Referentiel/Acteurs-du-Corporate-Finance/Banquiers/BANQUE-POPULAIRE-RIVES-DE-PARIS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fnews.net/Referentiel/Le-bottin-des-Personnalites/Jeremy-Dahan" TargetMode="External"/><Relationship Id="rId19" Type="http://schemas.openxmlformats.org/officeDocument/2006/relationships/hyperlink" Target="http://www.cfnews.net/Referentiel/Le-bottin-des-Personnalites/Jeremy-Dahan" TargetMode="External"/><Relationship Id="rId31" Type="http://schemas.openxmlformats.org/officeDocument/2006/relationships/hyperlink" Target="http://www.cfnews.net/Referentiel/Le-bottin-des-Personnalites/Gianluigi-Indino" TargetMode="External"/><Relationship Id="rId44" Type="http://schemas.openxmlformats.org/officeDocument/2006/relationships/hyperlink" Target="http://www.cfnews.net/Referentiel/Le-bottin-des-Personnalites/Thomas-Verdeil" TargetMode="External"/><Relationship Id="rId52" Type="http://schemas.openxmlformats.org/officeDocument/2006/relationships/hyperlink" Target="http://www.cfnews.net/Referentiel/Acteurs-du-Corporate-Finance/Banquiers/L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fnews.net/Referentiel/Societes/FONDATEUR-S" TargetMode="External"/><Relationship Id="rId14" Type="http://schemas.openxmlformats.org/officeDocument/2006/relationships/hyperlink" Target="http://www.cfnews.net/Referentiel/Le-bottin-des-Personnalites/Thomas-Duteil" TargetMode="External"/><Relationship Id="rId22" Type="http://schemas.openxmlformats.org/officeDocument/2006/relationships/hyperlink" Target="http://www.cfnews.net/Referentiel/Le-bottin-des-Personnalites/Guillaume-Bain" TargetMode="External"/><Relationship Id="rId27" Type="http://schemas.openxmlformats.org/officeDocument/2006/relationships/hyperlink" Target="http://www.cfnews.net/Referentiel/Le-bottin-des-Personnalites/Stephane-Seguin" TargetMode="External"/><Relationship Id="rId30" Type="http://schemas.openxmlformats.org/officeDocument/2006/relationships/hyperlink" Target="http://www.cfnews.net/Referentiel/Le-bottin-des-Personnalites/Jean-Daniel-Pick" TargetMode="External"/><Relationship Id="rId35" Type="http://schemas.openxmlformats.org/officeDocument/2006/relationships/hyperlink" Target="http://www.cfnews.net/Referentiel/Le-bottin-des-Personnalites/Virginie-Lazes" TargetMode="External"/><Relationship Id="rId43" Type="http://schemas.openxmlformats.org/officeDocument/2006/relationships/hyperlink" Target="http://www.cfnews.net/Referentiel/Acteurs-du-Corporate-Finance/Avocats/SEKRI-VALENTIN-ZERROUK-SVZ" TargetMode="External"/><Relationship Id="rId48" Type="http://schemas.openxmlformats.org/officeDocument/2006/relationships/hyperlink" Target="http://www.cfnews.net/Referentiel/Le-bottin-des-Personnalites/Eric-Braconnier" TargetMode="External"/><Relationship Id="rId56" Type="http://schemas.openxmlformats.org/officeDocument/2006/relationships/hyperlink" Target="http://www.cfnews.net/Referentiel/Le-bottin-des-Personnalites/Marie-Trecan" TargetMode="External"/><Relationship Id="rId8" Type="http://schemas.openxmlformats.org/officeDocument/2006/relationships/hyperlink" Target="http://www.cfnews.net/Referentiel/Societes/GLOBE-GROUPE" TargetMode="External"/><Relationship Id="rId51" Type="http://schemas.openxmlformats.org/officeDocument/2006/relationships/hyperlink" Target="http://www.cfnews.net/Referentiel/Le-bottin-des-Personnalites/Romain-Bejaou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1387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Delattre</dc:creator>
  <cp:keywords/>
  <dc:description/>
  <cp:lastModifiedBy>Elise Delattre</cp:lastModifiedBy>
  <cp:revision>2</cp:revision>
  <dcterms:created xsi:type="dcterms:W3CDTF">2017-10-13T11:21:00Z</dcterms:created>
  <dcterms:modified xsi:type="dcterms:W3CDTF">2017-10-13T11:24:00Z</dcterms:modified>
</cp:coreProperties>
</file>