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F3" w:rsidRPr="00DA69F1" w:rsidRDefault="002C57F3" w:rsidP="002C57F3">
      <w:pPr>
        <w:spacing w:line="273" w:lineRule="auto"/>
        <w:ind w:left="113" w:right="118"/>
        <w:jc w:val="both"/>
        <w:rPr>
          <w:b/>
          <w:w w:val="110"/>
          <w:lang w:val="en-GB"/>
        </w:rPr>
      </w:pPr>
      <w:bookmarkStart w:id="0" w:name="_GoBack"/>
      <w:bookmarkEnd w:id="0"/>
      <w:r w:rsidRPr="00DA69F1">
        <w:rPr>
          <w:b/>
          <w:w w:val="110"/>
          <w:lang w:val="en-GB"/>
        </w:rPr>
        <w:t>DLA, Hoche</w:t>
      </w:r>
      <w:r w:rsidR="00B165D9">
        <w:rPr>
          <w:b/>
          <w:w w:val="110"/>
          <w:lang w:val="en-GB"/>
        </w:rPr>
        <w:t>,</w:t>
      </w:r>
      <w:r w:rsidRPr="00DA69F1">
        <w:rPr>
          <w:b/>
          <w:w w:val="110"/>
          <w:lang w:val="en-GB"/>
        </w:rPr>
        <w:t xml:space="preserve"> </w:t>
      </w:r>
      <w:r w:rsidR="00DA69F1" w:rsidRPr="00DA69F1">
        <w:rPr>
          <w:b/>
          <w:w w:val="110"/>
          <w:lang w:val="en-GB"/>
        </w:rPr>
        <w:t>and</w:t>
      </w:r>
      <w:r w:rsidRPr="00DA69F1">
        <w:rPr>
          <w:b/>
          <w:w w:val="110"/>
          <w:lang w:val="en-GB"/>
        </w:rPr>
        <w:t xml:space="preserve"> SVZ </w:t>
      </w:r>
      <w:r w:rsidR="00DA69F1" w:rsidRPr="00DA69F1">
        <w:rPr>
          <w:b/>
          <w:w w:val="110"/>
          <w:lang w:val="en-GB"/>
        </w:rPr>
        <w:t xml:space="preserve">participate in </w:t>
      </w:r>
      <w:r w:rsidRPr="00DA69F1">
        <w:rPr>
          <w:b/>
          <w:w w:val="110"/>
          <w:lang w:val="en-GB"/>
        </w:rPr>
        <w:t>Carlyle</w:t>
      </w:r>
      <w:r w:rsidR="00DA69F1" w:rsidRPr="00DA69F1">
        <w:rPr>
          <w:b/>
          <w:w w:val="110"/>
          <w:lang w:val="en-GB"/>
        </w:rPr>
        <w:t>'s acquisition of</w:t>
      </w:r>
      <w:r w:rsidRPr="00DA69F1">
        <w:rPr>
          <w:b/>
          <w:w w:val="110"/>
          <w:lang w:val="en-GB"/>
        </w:rPr>
        <w:t xml:space="preserve"> Prima Solutions</w:t>
      </w:r>
    </w:p>
    <w:p w:rsidR="002C57F3" w:rsidRPr="00DA69F1" w:rsidRDefault="002C57F3" w:rsidP="002C57F3">
      <w:pPr>
        <w:spacing w:line="273" w:lineRule="auto"/>
        <w:ind w:left="113" w:right="118"/>
        <w:jc w:val="both"/>
        <w:rPr>
          <w:w w:val="110"/>
          <w:sz w:val="17"/>
          <w:lang w:val="en-GB"/>
        </w:rPr>
      </w:pPr>
    </w:p>
    <w:p w:rsidR="002C57F3" w:rsidRPr="00DA69F1" w:rsidRDefault="002C57F3" w:rsidP="002C57F3">
      <w:pPr>
        <w:spacing w:line="273" w:lineRule="auto"/>
        <w:ind w:left="113" w:right="118"/>
        <w:jc w:val="both"/>
        <w:rPr>
          <w:lang w:val="en-GB"/>
        </w:rPr>
      </w:pPr>
      <w:r w:rsidRPr="00DA69F1">
        <w:rPr>
          <w:w w:val="110"/>
          <w:lang w:val="en-GB"/>
        </w:rPr>
        <w:t xml:space="preserve">Carlyle </w:t>
      </w:r>
      <w:r w:rsidR="00947667">
        <w:rPr>
          <w:w w:val="110"/>
          <w:lang w:val="en-GB"/>
        </w:rPr>
        <w:t>is acquiring</w:t>
      </w:r>
      <w:r w:rsidRPr="00DA69F1">
        <w:rPr>
          <w:w w:val="110"/>
          <w:lang w:val="en-GB"/>
        </w:rPr>
        <w:t xml:space="preserve"> Prima Solutions, </w:t>
      </w:r>
      <w:r w:rsidR="00947667">
        <w:rPr>
          <w:w w:val="110"/>
          <w:lang w:val="en-GB"/>
        </w:rPr>
        <w:t>the French insurance software publisher and supplier of digital platforms</w:t>
      </w:r>
      <w:r w:rsidRPr="00DA69F1">
        <w:rPr>
          <w:w w:val="110"/>
          <w:lang w:val="en-GB"/>
        </w:rPr>
        <w:t xml:space="preserve">. Prima Solutions </w:t>
      </w:r>
      <w:r w:rsidR="00947667">
        <w:rPr>
          <w:w w:val="110"/>
          <w:lang w:val="en-GB"/>
        </w:rPr>
        <w:t xml:space="preserve">will continue to be managed by its existing team, including the founding chairman and co-founder of the comparison site Assurland.com, </w:t>
      </w:r>
      <w:r w:rsidRPr="00DA69F1">
        <w:rPr>
          <w:w w:val="110"/>
          <w:lang w:val="en-GB"/>
        </w:rPr>
        <w:t xml:space="preserve">Hugues Delannoy, </w:t>
      </w:r>
      <w:r w:rsidR="00947667">
        <w:rPr>
          <w:w w:val="110"/>
          <w:lang w:val="en-GB"/>
        </w:rPr>
        <w:t xml:space="preserve">as well as the CEO, </w:t>
      </w:r>
      <w:r w:rsidRPr="00DA69F1">
        <w:rPr>
          <w:w w:val="110"/>
          <w:lang w:val="en-GB"/>
        </w:rPr>
        <w:t>Rodolphe Peim</w:t>
      </w:r>
      <w:r w:rsidR="00947667">
        <w:rPr>
          <w:w w:val="110"/>
          <w:lang w:val="en-GB"/>
        </w:rPr>
        <w:t xml:space="preserve">. Founded in </w:t>
      </w:r>
      <w:r w:rsidRPr="00DA69F1">
        <w:rPr>
          <w:w w:val="110"/>
          <w:lang w:val="en-GB"/>
        </w:rPr>
        <w:t xml:space="preserve">2000, Prima Solutions </w:t>
      </w:r>
      <w:r w:rsidR="00947667">
        <w:rPr>
          <w:w w:val="110"/>
          <w:lang w:val="en-GB"/>
        </w:rPr>
        <w:t>is a French publisher that designs, develops</w:t>
      </w:r>
      <w:r w:rsidR="00B165D9">
        <w:rPr>
          <w:w w:val="110"/>
          <w:lang w:val="en-GB"/>
        </w:rPr>
        <w:t>,</w:t>
      </w:r>
      <w:r w:rsidR="00947667">
        <w:rPr>
          <w:w w:val="110"/>
          <w:lang w:val="en-GB"/>
        </w:rPr>
        <w:t xml:space="preserve"> and markets software exclusively for insurance professionals</w:t>
      </w:r>
      <w:r w:rsidRPr="00DA69F1">
        <w:rPr>
          <w:w w:val="110"/>
          <w:lang w:val="en-GB"/>
        </w:rPr>
        <w:t xml:space="preserve">. </w:t>
      </w:r>
      <w:r w:rsidR="006E51B9">
        <w:rPr>
          <w:w w:val="110"/>
          <w:lang w:val="en-GB"/>
        </w:rPr>
        <w:t xml:space="preserve">It offers digital modular </w:t>
      </w:r>
      <w:r w:rsidRPr="00DA69F1">
        <w:rPr>
          <w:w w:val="110"/>
          <w:lang w:val="en-GB"/>
        </w:rPr>
        <w:t>applications</w:t>
      </w:r>
      <w:r w:rsidR="006E51B9">
        <w:rPr>
          <w:w w:val="110"/>
          <w:lang w:val="en-GB"/>
        </w:rPr>
        <w:t xml:space="preserve"> that enable insurance professionals to optimise their client relations and </w:t>
      </w:r>
      <w:r w:rsidR="00B165D9">
        <w:rPr>
          <w:w w:val="110"/>
          <w:lang w:val="en-GB"/>
        </w:rPr>
        <w:t xml:space="preserve">insurance </w:t>
      </w:r>
      <w:r w:rsidR="006E51B9">
        <w:rPr>
          <w:w w:val="110"/>
          <w:lang w:val="en-GB"/>
        </w:rPr>
        <w:t>policy administration</w:t>
      </w:r>
      <w:r w:rsidRPr="00DA69F1">
        <w:rPr>
          <w:w w:val="110"/>
          <w:lang w:val="en-GB"/>
        </w:rPr>
        <w:t xml:space="preserve">. </w:t>
      </w:r>
      <w:r w:rsidR="006E6414">
        <w:rPr>
          <w:w w:val="110"/>
          <w:lang w:val="en-GB"/>
        </w:rPr>
        <w:t xml:space="preserve">With </w:t>
      </w:r>
      <w:r w:rsidRPr="00DA69F1">
        <w:rPr>
          <w:w w:val="110"/>
          <w:lang w:val="en-GB"/>
        </w:rPr>
        <w:t xml:space="preserve">200 </w:t>
      </w:r>
      <w:r w:rsidR="006E6414">
        <w:rPr>
          <w:w w:val="110"/>
          <w:lang w:val="en-GB"/>
        </w:rPr>
        <w:t xml:space="preserve">employees, </w:t>
      </w:r>
      <w:r w:rsidRPr="00DA69F1">
        <w:rPr>
          <w:w w:val="110"/>
          <w:lang w:val="en-GB"/>
        </w:rPr>
        <w:t xml:space="preserve">Prima Solutions </w:t>
      </w:r>
      <w:r w:rsidR="006E6414">
        <w:rPr>
          <w:w w:val="110"/>
          <w:lang w:val="en-GB"/>
        </w:rPr>
        <w:t xml:space="preserve">has enjoyed annual growth of 80% since </w:t>
      </w:r>
      <w:r w:rsidRPr="00DA69F1">
        <w:rPr>
          <w:w w:val="110"/>
          <w:lang w:val="en-GB"/>
        </w:rPr>
        <w:t>2013</w:t>
      </w:r>
      <w:r w:rsidR="006E6414">
        <w:rPr>
          <w:w w:val="110"/>
          <w:lang w:val="en-GB"/>
        </w:rPr>
        <w:t xml:space="preserve">, posting revenue of some </w:t>
      </w:r>
      <w:r w:rsidR="00B165D9">
        <w:rPr>
          <w:w w:val="110"/>
          <w:lang w:val="en-GB"/>
        </w:rPr>
        <w:t>€</w:t>
      </w:r>
      <w:r w:rsidRPr="00DA69F1">
        <w:rPr>
          <w:w w:val="110"/>
          <w:lang w:val="en-GB"/>
        </w:rPr>
        <w:t xml:space="preserve">20 million </w:t>
      </w:r>
      <w:r w:rsidR="006E6414">
        <w:rPr>
          <w:w w:val="110"/>
          <w:lang w:val="en-GB"/>
        </w:rPr>
        <w:t>i</w:t>
      </w:r>
      <w:r w:rsidRPr="00DA69F1">
        <w:rPr>
          <w:w w:val="110"/>
          <w:lang w:val="en-GB"/>
        </w:rPr>
        <w:t xml:space="preserve">n 2017. </w:t>
      </w:r>
      <w:r w:rsidR="004B32FC">
        <w:rPr>
          <w:w w:val="110"/>
          <w:lang w:val="en-GB"/>
        </w:rPr>
        <w:t>The objective of the transaction is to enable the company to pursue its development in the insurance software solutions market</w:t>
      </w:r>
      <w:r w:rsidRPr="00DA69F1">
        <w:rPr>
          <w:w w:val="110"/>
          <w:lang w:val="en-GB"/>
        </w:rPr>
        <w:t xml:space="preserve">. </w:t>
      </w:r>
      <w:r w:rsidRPr="00DA69F1">
        <w:rPr>
          <w:rFonts w:ascii="Century Gothic" w:hAnsi="Century Gothic"/>
          <w:b/>
          <w:w w:val="110"/>
          <w:lang w:val="en-GB"/>
        </w:rPr>
        <w:t xml:space="preserve">DLA Piper </w:t>
      </w:r>
      <w:r w:rsidR="004B32FC">
        <w:rPr>
          <w:w w:val="110"/>
          <w:lang w:val="en-GB"/>
        </w:rPr>
        <w:t xml:space="preserve">supported </w:t>
      </w:r>
      <w:r w:rsidRPr="00DA69F1">
        <w:rPr>
          <w:w w:val="110"/>
          <w:lang w:val="en-GB"/>
        </w:rPr>
        <w:t xml:space="preserve">Carlyle </w:t>
      </w:r>
      <w:r w:rsidR="004B32FC">
        <w:rPr>
          <w:w w:val="110"/>
          <w:lang w:val="en-GB"/>
        </w:rPr>
        <w:t>through</w:t>
      </w:r>
      <w:r w:rsidRPr="00DA69F1">
        <w:rPr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 xml:space="preserve">Xavier </w:t>
      </w:r>
      <w:r w:rsidRPr="00DA69F1">
        <w:rPr>
          <w:rFonts w:ascii="Century Gothic" w:hAnsi="Century Gothic"/>
          <w:b/>
          <w:w w:val="105"/>
          <w:lang w:val="en-GB"/>
        </w:rPr>
        <w:t>Norlain</w:t>
      </w:r>
      <w:r w:rsidR="0034421D">
        <w:rPr>
          <w:rFonts w:ascii="Century Gothic" w:hAnsi="Century Gothic"/>
          <w:b/>
          <w:w w:val="105"/>
          <w:lang w:val="en-GB"/>
        </w:rPr>
        <w:t xml:space="preserve"> </w:t>
      </w:r>
      <w:r w:rsidR="0034421D">
        <w:rPr>
          <w:w w:val="105"/>
          <w:lang w:val="en-GB"/>
        </w:rPr>
        <w:t>(</w:t>
      </w:r>
      <w:r w:rsidR="004B32FC">
        <w:rPr>
          <w:spacing w:val="-10"/>
          <w:w w:val="105"/>
          <w:lang w:val="en-GB"/>
        </w:rPr>
        <w:t>partner</w:t>
      </w:r>
      <w:r w:rsidR="0034421D">
        <w:rPr>
          <w:spacing w:val="-10"/>
          <w:w w:val="105"/>
          <w:lang w:val="en-GB"/>
        </w:rPr>
        <w:t>)</w:t>
      </w:r>
      <w:r w:rsidRPr="00DA69F1">
        <w:rPr>
          <w:w w:val="105"/>
          <w:lang w:val="en-GB"/>
        </w:rPr>
        <w:t>,</w:t>
      </w:r>
      <w:r w:rsidRPr="00DA69F1">
        <w:rPr>
          <w:spacing w:val="-10"/>
          <w:w w:val="105"/>
          <w:lang w:val="en-GB"/>
        </w:rPr>
        <w:t xml:space="preserve"> </w:t>
      </w:r>
      <w:r w:rsidRPr="00DA69F1">
        <w:rPr>
          <w:rFonts w:ascii="Century Gothic" w:hAnsi="Century Gothic"/>
          <w:b/>
          <w:w w:val="105"/>
          <w:lang w:val="en-GB"/>
        </w:rPr>
        <w:t>Arnaud</w:t>
      </w:r>
      <w:r w:rsidRPr="00DA69F1">
        <w:rPr>
          <w:rFonts w:ascii="Century Gothic" w:hAnsi="Century Gothic"/>
          <w:b/>
          <w:spacing w:val="-12"/>
          <w:w w:val="105"/>
          <w:lang w:val="en-GB"/>
        </w:rPr>
        <w:t xml:space="preserve"> </w:t>
      </w:r>
      <w:r w:rsidRPr="00DA69F1">
        <w:rPr>
          <w:rFonts w:ascii="Century Gothic" w:hAnsi="Century Gothic"/>
          <w:b/>
          <w:w w:val="105"/>
          <w:lang w:val="en-GB"/>
        </w:rPr>
        <w:t>Lafarge</w:t>
      </w:r>
      <w:r w:rsidRPr="00DA69F1">
        <w:rPr>
          <w:rFonts w:ascii="Century Gothic" w:hAnsi="Century Gothic"/>
          <w:b/>
          <w:spacing w:val="-15"/>
          <w:w w:val="105"/>
          <w:lang w:val="en-GB"/>
        </w:rPr>
        <w:t xml:space="preserve"> </w:t>
      </w:r>
      <w:r w:rsidR="004B32FC">
        <w:rPr>
          <w:w w:val="105"/>
          <w:lang w:val="en-GB"/>
        </w:rPr>
        <w:t>and</w:t>
      </w:r>
      <w:r w:rsidRPr="00DA69F1">
        <w:rPr>
          <w:spacing w:val="-5"/>
          <w:w w:val="105"/>
          <w:lang w:val="en-GB"/>
        </w:rPr>
        <w:t xml:space="preserve"> </w:t>
      </w:r>
      <w:r w:rsidRPr="00DA69F1">
        <w:rPr>
          <w:rFonts w:ascii="Century Gothic" w:hAnsi="Century Gothic"/>
          <w:b/>
          <w:w w:val="105"/>
          <w:lang w:val="en-GB"/>
        </w:rPr>
        <w:t>Radu</w:t>
      </w:r>
      <w:r w:rsidRPr="00DA69F1">
        <w:rPr>
          <w:rFonts w:ascii="Century Gothic" w:hAnsi="Century Gothic"/>
          <w:b/>
          <w:spacing w:val="-17"/>
          <w:w w:val="105"/>
          <w:lang w:val="en-GB"/>
        </w:rPr>
        <w:t xml:space="preserve"> </w:t>
      </w:r>
      <w:r w:rsidRPr="00DA69F1">
        <w:rPr>
          <w:rFonts w:ascii="Century Gothic" w:hAnsi="Century Gothic"/>
          <w:b/>
          <w:w w:val="105"/>
          <w:lang w:val="en-GB"/>
        </w:rPr>
        <w:t>Valeanu</w:t>
      </w:r>
      <w:r w:rsidR="004B32FC">
        <w:rPr>
          <w:w w:val="105"/>
          <w:lang w:val="en-GB"/>
        </w:rPr>
        <w:t xml:space="preserve"> </w:t>
      </w:r>
      <w:r w:rsidR="0034421D">
        <w:rPr>
          <w:w w:val="105"/>
          <w:lang w:val="en-GB"/>
        </w:rPr>
        <w:t xml:space="preserve">in </w:t>
      </w:r>
      <w:r w:rsidRPr="00DA69F1">
        <w:rPr>
          <w:spacing w:val="-4"/>
          <w:w w:val="105"/>
          <w:lang w:val="en-GB"/>
        </w:rPr>
        <w:t>cor</w:t>
      </w:r>
      <w:r w:rsidRPr="00DA69F1">
        <w:rPr>
          <w:w w:val="110"/>
          <w:lang w:val="en-GB"/>
        </w:rPr>
        <w:t>porate</w:t>
      </w:r>
      <w:r w:rsidR="0034421D">
        <w:rPr>
          <w:w w:val="110"/>
          <w:lang w:val="en-GB"/>
        </w:rPr>
        <w:t>;</w:t>
      </w:r>
      <w:r w:rsidR="004B32FC">
        <w:rPr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Guillaume</w:t>
      </w:r>
      <w:r w:rsidRPr="00DA69F1">
        <w:rPr>
          <w:rFonts w:ascii="Century Gothic" w:hAnsi="Century Gothic"/>
          <w:b/>
          <w:spacing w:val="-12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Valois</w:t>
      </w:r>
      <w:r w:rsidRPr="00DA69F1">
        <w:rPr>
          <w:spacing w:val="-5"/>
          <w:w w:val="110"/>
          <w:lang w:val="en-GB"/>
        </w:rPr>
        <w:t xml:space="preserve"> </w:t>
      </w:r>
      <w:r w:rsidR="0034421D">
        <w:rPr>
          <w:spacing w:val="-5"/>
          <w:w w:val="110"/>
          <w:lang w:val="en-GB"/>
        </w:rPr>
        <w:t>(</w:t>
      </w:r>
      <w:r w:rsidR="004B32FC">
        <w:rPr>
          <w:spacing w:val="-5"/>
          <w:w w:val="110"/>
          <w:lang w:val="en-GB"/>
        </w:rPr>
        <w:t>partner</w:t>
      </w:r>
      <w:r w:rsidR="0034421D">
        <w:rPr>
          <w:spacing w:val="-5"/>
          <w:w w:val="110"/>
          <w:lang w:val="en-GB"/>
        </w:rPr>
        <w:t>)</w:t>
      </w:r>
      <w:r w:rsidRPr="00DA69F1">
        <w:rPr>
          <w:spacing w:val="-5"/>
          <w:w w:val="110"/>
          <w:lang w:val="en-GB"/>
        </w:rPr>
        <w:t xml:space="preserve"> </w:t>
      </w:r>
      <w:r w:rsidR="004B32FC">
        <w:rPr>
          <w:spacing w:val="-5"/>
          <w:w w:val="110"/>
          <w:lang w:val="en-GB"/>
        </w:rPr>
        <w:t>and</w:t>
      </w:r>
      <w:r w:rsidRPr="00DA69F1">
        <w:rPr>
          <w:spacing w:val="-1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Emilie</w:t>
      </w:r>
      <w:r w:rsidRPr="00DA69F1">
        <w:rPr>
          <w:rFonts w:ascii="Century Gothic" w:hAnsi="Century Gothic"/>
          <w:b/>
          <w:spacing w:val="-9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Renaud</w:t>
      </w:r>
      <w:r w:rsidRPr="00DA69F1">
        <w:rPr>
          <w:rFonts w:ascii="Century Gothic" w:hAnsi="Century Gothic"/>
          <w:b/>
          <w:spacing w:val="-9"/>
          <w:w w:val="110"/>
          <w:lang w:val="en-GB"/>
        </w:rPr>
        <w:t xml:space="preserve"> </w:t>
      </w:r>
      <w:r w:rsidR="0034421D">
        <w:rPr>
          <w:w w:val="110"/>
          <w:lang w:val="en-GB"/>
        </w:rPr>
        <w:t>in tax law;</w:t>
      </w:r>
      <w:r w:rsidRPr="00DA69F1">
        <w:rPr>
          <w:spacing w:val="-8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Jérôme</w:t>
      </w:r>
      <w:r w:rsidRPr="00DA69F1">
        <w:rPr>
          <w:rFonts w:ascii="Century Gothic" w:hAnsi="Century Gothic"/>
          <w:b/>
          <w:spacing w:val="-12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Halphen</w:t>
      </w:r>
      <w:r w:rsidRPr="00DA69F1">
        <w:rPr>
          <w:spacing w:val="-8"/>
          <w:w w:val="110"/>
          <w:lang w:val="en-GB"/>
        </w:rPr>
        <w:t xml:space="preserve"> </w:t>
      </w:r>
      <w:r w:rsidR="0034421D">
        <w:rPr>
          <w:w w:val="110"/>
          <w:lang w:val="en-GB"/>
        </w:rPr>
        <w:t>(partner) and</w:t>
      </w:r>
      <w:r w:rsidRPr="00DA69F1">
        <w:rPr>
          <w:spacing w:val="-5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Vivianne</w:t>
      </w:r>
      <w:r w:rsidRPr="00DA69F1">
        <w:rPr>
          <w:rFonts w:ascii="Century Gothic" w:hAnsi="Century Gothic"/>
          <w:b/>
          <w:spacing w:val="-16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Valilou</w:t>
      </w:r>
      <w:r w:rsidRPr="00DA69F1">
        <w:rPr>
          <w:rFonts w:ascii="Century Gothic" w:hAnsi="Century Gothic"/>
          <w:b/>
          <w:spacing w:val="-15"/>
          <w:w w:val="110"/>
          <w:lang w:val="en-GB"/>
        </w:rPr>
        <w:t xml:space="preserve"> </w:t>
      </w:r>
      <w:r w:rsidR="0034421D">
        <w:rPr>
          <w:w w:val="110"/>
          <w:lang w:val="en-GB"/>
        </w:rPr>
        <w:t>in employment law;</w:t>
      </w:r>
      <w:r w:rsidRPr="00DA69F1">
        <w:rPr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Lionel Rosenfled</w:t>
      </w:r>
      <w:r w:rsidRPr="00DA69F1">
        <w:rPr>
          <w:w w:val="110"/>
          <w:lang w:val="en-GB"/>
        </w:rPr>
        <w:t xml:space="preserve"> </w:t>
      </w:r>
      <w:r w:rsidR="0034421D">
        <w:rPr>
          <w:w w:val="110"/>
          <w:lang w:val="en-GB"/>
        </w:rPr>
        <w:t>(partner) and</w:t>
      </w:r>
      <w:r w:rsidRPr="00DA69F1">
        <w:rPr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Gaëtan Rogeau</w:t>
      </w:r>
      <w:r w:rsidRPr="00DA69F1">
        <w:rPr>
          <w:rFonts w:ascii="Century Gothic" w:hAnsi="Century Gothic"/>
          <w:b/>
          <w:spacing w:val="-13"/>
          <w:w w:val="110"/>
          <w:lang w:val="en-GB"/>
        </w:rPr>
        <w:t xml:space="preserve"> </w:t>
      </w:r>
      <w:r w:rsidR="0034421D">
        <w:rPr>
          <w:w w:val="110"/>
          <w:lang w:val="en-GB"/>
        </w:rPr>
        <w:t>i</w:t>
      </w:r>
      <w:r w:rsidRPr="00DA69F1">
        <w:rPr>
          <w:w w:val="110"/>
          <w:lang w:val="en-GB"/>
        </w:rPr>
        <w:t>n</w:t>
      </w:r>
      <w:r w:rsidR="0034421D">
        <w:rPr>
          <w:w w:val="110"/>
          <w:lang w:val="en-GB"/>
        </w:rPr>
        <w:t xml:space="preserve"> real estate law</w:t>
      </w:r>
      <w:r w:rsidRPr="00DA69F1">
        <w:rPr>
          <w:w w:val="110"/>
          <w:lang w:val="en-GB"/>
        </w:rPr>
        <w:t xml:space="preserve">; </w:t>
      </w:r>
      <w:r w:rsidRPr="00DA69F1">
        <w:rPr>
          <w:rFonts w:ascii="Century Gothic" w:hAnsi="Century Gothic"/>
          <w:b/>
          <w:w w:val="110"/>
          <w:lang w:val="en-GB"/>
        </w:rPr>
        <w:t>Karine</w:t>
      </w:r>
      <w:r w:rsidRPr="00DA69F1">
        <w:rPr>
          <w:rFonts w:ascii="Century Gothic" w:hAnsi="Century Gothic"/>
          <w:b/>
          <w:spacing w:val="-39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Disdier-Mikus</w:t>
      </w:r>
      <w:r w:rsidRPr="00DA69F1">
        <w:rPr>
          <w:w w:val="110"/>
          <w:lang w:val="en-GB"/>
        </w:rPr>
        <w:t xml:space="preserve"> </w:t>
      </w:r>
      <w:r w:rsidR="0034421D">
        <w:rPr>
          <w:w w:val="110"/>
          <w:lang w:val="en-GB"/>
        </w:rPr>
        <w:t>(partner) and</w:t>
      </w:r>
      <w:r w:rsidRPr="00DA69F1">
        <w:rPr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 xml:space="preserve">Nancy Larrieu </w:t>
      </w:r>
      <w:r w:rsidR="0034421D">
        <w:rPr>
          <w:w w:val="110"/>
          <w:lang w:val="en-GB"/>
        </w:rPr>
        <w:t>in aspects related to technology and intellectual property;</w:t>
      </w:r>
      <w:r w:rsidRPr="00DA69F1">
        <w:rPr>
          <w:spacing w:val="-17"/>
          <w:w w:val="105"/>
          <w:lang w:val="en-GB"/>
        </w:rPr>
        <w:t xml:space="preserve"> </w:t>
      </w:r>
      <w:r w:rsidRPr="00DA69F1">
        <w:rPr>
          <w:rFonts w:ascii="Century Gothic" w:hAnsi="Century Gothic"/>
          <w:b/>
          <w:w w:val="105"/>
          <w:lang w:val="en-GB"/>
        </w:rPr>
        <w:t>Denise</w:t>
      </w:r>
      <w:r w:rsidRPr="00DA69F1">
        <w:rPr>
          <w:rFonts w:ascii="Century Gothic" w:hAnsi="Century Gothic"/>
          <w:b/>
          <w:spacing w:val="-21"/>
          <w:w w:val="105"/>
          <w:lang w:val="en-GB"/>
        </w:rPr>
        <w:t xml:space="preserve"> </w:t>
      </w:r>
      <w:r w:rsidRPr="00DA69F1">
        <w:rPr>
          <w:rFonts w:ascii="Century Gothic" w:hAnsi="Century Gothic"/>
          <w:b/>
          <w:w w:val="105"/>
          <w:lang w:val="en-GB"/>
        </w:rPr>
        <w:t>Lebeau-Mariana</w:t>
      </w:r>
      <w:r w:rsidR="0034421D">
        <w:rPr>
          <w:w w:val="105"/>
          <w:lang w:val="en-GB"/>
        </w:rPr>
        <w:t xml:space="preserve"> (partner)</w:t>
      </w:r>
      <w:r w:rsidR="00B165D9">
        <w:rPr>
          <w:w w:val="105"/>
          <w:lang w:val="en-GB"/>
        </w:rPr>
        <w:t>,</w:t>
      </w:r>
      <w:r w:rsidR="0034421D">
        <w:rPr>
          <w:w w:val="105"/>
          <w:lang w:val="en-GB"/>
        </w:rPr>
        <w:t xml:space="preserve"> and</w:t>
      </w:r>
      <w:r w:rsidRPr="00DA69F1">
        <w:rPr>
          <w:spacing w:val="-14"/>
          <w:w w:val="105"/>
          <w:lang w:val="en-GB"/>
        </w:rPr>
        <w:t xml:space="preserve"> </w:t>
      </w:r>
      <w:r w:rsidRPr="00DA69F1">
        <w:rPr>
          <w:rFonts w:ascii="Century Gothic" w:hAnsi="Century Gothic"/>
          <w:b/>
          <w:w w:val="105"/>
          <w:lang w:val="en-GB"/>
        </w:rPr>
        <w:t>Jeanne</w:t>
      </w:r>
      <w:r w:rsidRPr="00DA69F1">
        <w:rPr>
          <w:rFonts w:ascii="Century Gothic" w:hAnsi="Century Gothic"/>
          <w:b/>
          <w:spacing w:val="-21"/>
          <w:w w:val="105"/>
          <w:lang w:val="en-GB"/>
        </w:rPr>
        <w:t xml:space="preserve"> </w:t>
      </w:r>
      <w:r w:rsidRPr="00DA69F1">
        <w:rPr>
          <w:rFonts w:ascii="Century Gothic" w:hAnsi="Century Gothic"/>
          <w:b/>
          <w:w w:val="105"/>
          <w:lang w:val="en-GB"/>
        </w:rPr>
        <w:t>Dau</w:t>
      </w:r>
      <w:r w:rsidRPr="00DA69F1">
        <w:rPr>
          <w:rFonts w:ascii="Century Gothic" w:hAnsi="Century Gothic"/>
          <w:b/>
          <w:w w:val="110"/>
          <w:lang w:val="en-GB"/>
        </w:rPr>
        <w:t xml:space="preserve">zier </w:t>
      </w:r>
      <w:r w:rsidR="0034421D">
        <w:rPr>
          <w:w w:val="110"/>
          <w:lang w:val="en-GB"/>
        </w:rPr>
        <w:t xml:space="preserve">in </w:t>
      </w:r>
      <w:r w:rsidRPr="00DA69F1">
        <w:rPr>
          <w:w w:val="110"/>
          <w:lang w:val="en-GB"/>
        </w:rPr>
        <w:t xml:space="preserve">data protection. </w:t>
      </w:r>
      <w:r w:rsidRPr="00DA69F1">
        <w:rPr>
          <w:rFonts w:ascii="Century Gothic" w:hAnsi="Century Gothic"/>
          <w:b/>
          <w:w w:val="110"/>
          <w:lang w:val="en-GB"/>
        </w:rPr>
        <w:t xml:space="preserve">Hoche </w:t>
      </w:r>
      <w:r w:rsidRPr="00DA69F1">
        <w:rPr>
          <w:w w:val="110"/>
          <w:lang w:val="en-GB"/>
        </w:rPr>
        <w:t>a</w:t>
      </w:r>
      <w:r w:rsidR="0034421D">
        <w:rPr>
          <w:w w:val="110"/>
          <w:lang w:val="en-GB"/>
        </w:rPr>
        <w:t xml:space="preserve">dvised the shareholders and </w:t>
      </w:r>
      <w:r w:rsidRPr="00DA69F1">
        <w:rPr>
          <w:w w:val="110"/>
          <w:lang w:val="en-GB"/>
        </w:rPr>
        <w:t xml:space="preserve">managers </w:t>
      </w:r>
      <w:r w:rsidR="0034421D">
        <w:rPr>
          <w:w w:val="110"/>
          <w:lang w:val="en-GB"/>
        </w:rPr>
        <w:t>of</w:t>
      </w:r>
      <w:r w:rsidRPr="00DA69F1">
        <w:rPr>
          <w:w w:val="110"/>
          <w:lang w:val="en-GB"/>
        </w:rPr>
        <w:t xml:space="preserve"> Prima Solutions, </w:t>
      </w:r>
      <w:r w:rsidR="0034421D">
        <w:rPr>
          <w:w w:val="110"/>
          <w:lang w:val="en-GB"/>
        </w:rPr>
        <w:t>through</w:t>
      </w:r>
      <w:r w:rsidRPr="00DA69F1">
        <w:rPr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Laurent</w:t>
      </w:r>
      <w:r w:rsidRPr="00DA69F1">
        <w:rPr>
          <w:rFonts w:ascii="Century Gothic" w:hAnsi="Century Gothic"/>
          <w:b/>
          <w:spacing w:val="-21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Bensaid</w:t>
      </w:r>
      <w:r w:rsidR="0034421D">
        <w:rPr>
          <w:rFonts w:ascii="Century Gothic" w:hAnsi="Century Gothic"/>
          <w:b/>
          <w:w w:val="110"/>
          <w:lang w:val="en-GB"/>
        </w:rPr>
        <w:t xml:space="preserve"> </w:t>
      </w:r>
      <w:r w:rsidR="0034421D">
        <w:rPr>
          <w:w w:val="110"/>
          <w:lang w:val="en-GB"/>
        </w:rPr>
        <w:t>(partner)</w:t>
      </w:r>
      <w:r w:rsidRPr="00DA69F1">
        <w:rPr>
          <w:w w:val="110"/>
          <w:lang w:val="en-GB"/>
        </w:rPr>
        <w:t>,</w:t>
      </w:r>
      <w:r w:rsidRPr="00DA69F1">
        <w:rPr>
          <w:spacing w:val="-15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Veronique</w:t>
      </w:r>
      <w:r w:rsidRPr="00DA69F1">
        <w:rPr>
          <w:rFonts w:ascii="Century Gothic" w:hAnsi="Century Gothic"/>
          <w:b/>
          <w:spacing w:val="-21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Gedeon</w:t>
      </w:r>
      <w:r w:rsidRPr="00DA69F1">
        <w:rPr>
          <w:rFonts w:ascii="Century Gothic" w:hAnsi="Century Gothic"/>
          <w:b/>
          <w:spacing w:val="-21"/>
          <w:w w:val="110"/>
          <w:lang w:val="en-GB"/>
        </w:rPr>
        <w:t xml:space="preserve"> </w:t>
      </w:r>
      <w:r w:rsidR="0034421D">
        <w:rPr>
          <w:w w:val="110"/>
          <w:lang w:val="en-GB"/>
        </w:rPr>
        <w:t>and</w:t>
      </w:r>
      <w:r w:rsidRPr="00DA69F1">
        <w:rPr>
          <w:spacing w:val="-13"/>
          <w:w w:val="110"/>
          <w:lang w:val="en-GB"/>
        </w:rPr>
        <w:t xml:space="preserve"> </w:t>
      </w:r>
      <w:r w:rsidRPr="00DA69F1">
        <w:rPr>
          <w:rFonts w:ascii="Century Gothic" w:hAnsi="Century Gothic"/>
          <w:b/>
          <w:w w:val="110"/>
          <w:lang w:val="en-GB"/>
        </w:rPr>
        <w:t>Julien Vicariot</w:t>
      </w:r>
      <w:r w:rsidRPr="00DA69F1">
        <w:rPr>
          <w:w w:val="110"/>
          <w:lang w:val="en-GB"/>
        </w:rPr>
        <w:t xml:space="preserve">. </w:t>
      </w:r>
      <w:r w:rsidRPr="00DA69F1">
        <w:rPr>
          <w:rFonts w:ascii="Century Gothic" w:hAnsi="Century Gothic"/>
          <w:b/>
          <w:w w:val="110"/>
          <w:lang w:val="en-GB"/>
        </w:rPr>
        <w:t xml:space="preserve">Sekri Valentin Zerrouk </w:t>
      </w:r>
      <w:r w:rsidR="000A13BD">
        <w:rPr>
          <w:w w:val="110"/>
          <w:lang w:val="en-GB"/>
        </w:rPr>
        <w:t xml:space="preserve">covered asset taxation matters </w:t>
      </w:r>
      <w:r w:rsidR="00B165D9">
        <w:rPr>
          <w:w w:val="110"/>
          <w:lang w:val="en-GB"/>
        </w:rPr>
        <w:t xml:space="preserve">with </w:t>
      </w:r>
      <w:r w:rsidRPr="00DA69F1">
        <w:rPr>
          <w:rFonts w:ascii="Century Gothic" w:hAnsi="Century Gothic"/>
          <w:b/>
          <w:w w:val="110"/>
          <w:lang w:val="en-GB"/>
        </w:rPr>
        <w:t>Jérôme Assouline</w:t>
      </w:r>
      <w:r w:rsidRPr="00DA69F1">
        <w:rPr>
          <w:w w:val="110"/>
          <w:lang w:val="en-GB"/>
        </w:rPr>
        <w:t xml:space="preserve"> </w:t>
      </w:r>
      <w:r w:rsidR="000A13BD">
        <w:rPr>
          <w:w w:val="110"/>
          <w:lang w:val="en-GB"/>
        </w:rPr>
        <w:t>(partner)</w:t>
      </w:r>
      <w:r w:rsidRPr="00DA69F1">
        <w:rPr>
          <w:w w:val="110"/>
          <w:lang w:val="en-GB"/>
        </w:rPr>
        <w:t>.</w:t>
      </w:r>
    </w:p>
    <w:p w:rsidR="00747E41" w:rsidRPr="00DA69F1" w:rsidRDefault="00747E41">
      <w:pPr>
        <w:rPr>
          <w:lang w:val="en-GB"/>
        </w:rPr>
      </w:pPr>
    </w:p>
    <w:sectPr w:rsidR="00747E41" w:rsidRPr="00DA69F1" w:rsidSect="0055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F3"/>
    <w:rsid w:val="00057F61"/>
    <w:rsid w:val="000A13BD"/>
    <w:rsid w:val="001434F8"/>
    <w:rsid w:val="00176606"/>
    <w:rsid w:val="002C57F3"/>
    <w:rsid w:val="0034421D"/>
    <w:rsid w:val="003A07D9"/>
    <w:rsid w:val="004B32FC"/>
    <w:rsid w:val="00554A68"/>
    <w:rsid w:val="006E51B9"/>
    <w:rsid w:val="006E6414"/>
    <w:rsid w:val="00747E41"/>
    <w:rsid w:val="007770BA"/>
    <w:rsid w:val="007D1818"/>
    <w:rsid w:val="00947667"/>
    <w:rsid w:val="00B165D9"/>
    <w:rsid w:val="00C860DD"/>
    <w:rsid w:val="00DA69F1"/>
    <w:rsid w:val="00E2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710E9-B674-49C8-8A77-FA27BADA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C57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FC04-C1E0-400D-90CD-9200860B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www.hltrad.com</Company>
  <LinksUpToDate>false</LinksUpToDate>
  <CharactersWithSpaces>1633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HL TRAD</dc:creator>
  <cp:keywords> </cp:keywords>
  <dc:description> </dc:description>
  <cp:lastModifiedBy>Elise Delattre</cp:lastModifiedBy>
  <cp:revision>2</cp:revision>
  <dcterms:created xsi:type="dcterms:W3CDTF">2017-09-22T12:43:00Z</dcterms:created>
  <dcterms:modified xsi:type="dcterms:W3CDTF">2017-09-22T12:43:00Z</dcterms:modified>
  <cp:category> </cp:category>
</cp:coreProperties>
</file>